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2" w:hanging="3"/>
        <w:rPr>
          <w:rFonts w:ascii="Arial" w:cs="Arial" w:eastAsia="Arial" w:hAnsi="Arial"/>
          <w:smallCaps w:val="1"/>
          <w:color w:val="d9272e"/>
          <w:sz w:val="28"/>
          <w:szCs w:val="28"/>
        </w:rPr>
      </w:pPr>
      <w:r w:rsidDel="00000000" w:rsidR="00000000" w:rsidRPr="00000000">
        <w:rPr>
          <w:rFonts w:ascii="Arial" w:cs="Arial" w:eastAsia="Arial" w:hAnsi="Arial"/>
          <w:smallCaps w:val="1"/>
          <w:color w:val="d9272e"/>
          <w:sz w:val="22"/>
          <w:szCs w:val="22"/>
          <w:rtl w:val="0"/>
        </w:rPr>
        <w:t xml:space="preserve">URGENCE LIBAN</w:t>
      </w:r>
      <w:r w:rsidDel="00000000" w:rsidR="00000000" w:rsidRPr="00000000">
        <w:rPr>
          <w:rtl w:val="0"/>
        </w:rPr>
      </w:r>
    </w:p>
    <w:p w:rsidR="00000000" w:rsidDel="00000000" w:rsidP="00000000" w:rsidRDefault="00000000" w:rsidRPr="00000000" w14:paraId="00000002">
      <w:pPr>
        <w:spacing w:after="240" w:before="240" w:lineRule="auto"/>
        <w:rPr>
          <w:rFonts w:ascii="Arial" w:cs="Arial" w:eastAsia="Arial" w:hAnsi="Arial"/>
          <w:smallCaps w:val="1"/>
          <w:color w:val="d9272e"/>
          <w:sz w:val="28"/>
          <w:szCs w:val="28"/>
        </w:rPr>
      </w:pPr>
      <w:r w:rsidDel="00000000" w:rsidR="00000000" w:rsidRPr="00000000">
        <w:rPr>
          <w:rFonts w:ascii="Arial" w:cs="Arial" w:eastAsia="Arial" w:hAnsi="Arial"/>
          <w:smallCaps w:val="1"/>
          <w:color w:val="d9272e"/>
          <w:sz w:val="28"/>
          <w:szCs w:val="28"/>
          <w:rtl w:val="0"/>
        </w:rPr>
        <w:t xml:space="preserve">LE DRAME DE TROP DANS UN PAYS EXSANGUE : LA CHAÎNE DU BONHEUR APPELLE AUX DONS</w:t>
      </w:r>
    </w:p>
    <w:p w:rsidR="00000000" w:rsidDel="00000000" w:rsidP="00000000" w:rsidRDefault="00000000" w:rsidRPr="00000000" w14:paraId="00000003">
      <w:pPr>
        <w:spacing w:after="240" w:before="240" w:lineRule="auto"/>
        <w:rPr>
          <w:rFonts w:ascii="Arial" w:cs="Arial" w:eastAsia="Arial" w:hAnsi="Arial"/>
          <w:sz w:val="20"/>
          <w:szCs w:val="20"/>
        </w:rPr>
      </w:pPr>
      <w:r w:rsidDel="00000000" w:rsidR="00000000" w:rsidRPr="00000000">
        <w:rPr>
          <w:rFonts w:ascii="Arial" w:cs="Arial" w:eastAsia="Arial" w:hAnsi="Arial"/>
          <w:rtl w:val="0"/>
        </w:rPr>
        <w:t xml:space="preserve">La Chaîne du Bonheur appelle à la solidarité avec la population du Liban frappée par une catastrophe sans précédent. Les dons sont possibles dès maintenant sur </w:t>
      </w:r>
      <w:hyperlink r:id="rId7">
        <w:r w:rsidDel="00000000" w:rsidR="00000000" w:rsidRPr="00000000">
          <w:rPr>
            <w:rFonts w:ascii="Arial" w:cs="Arial" w:eastAsia="Arial" w:hAnsi="Arial"/>
            <w:color w:val="0000ff"/>
            <w:u w:val="single"/>
            <w:rtl w:val="0"/>
          </w:rPr>
          <w:t xml:space="preserve">www.bonheur.ch</w:t>
        </w:r>
      </w:hyperlink>
      <w:r w:rsidDel="00000000" w:rsidR="00000000" w:rsidRPr="00000000">
        <w:rPr>
          <w:rFonts w:ascii="Arial" w:cs="Arial" w:eastAsia="Arial" w:hAnsi="Arial"/>
          <w:rtl w:val="0"/>
        </w:rPr>
        <w:t xml:space="preserve"> et sur le compte postal 10-15000-6, mention « Urgence Liban ».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Les dommages causés par l’explosion à Beyrouth sont tels que le bilan n’est que provisoire. Plus de 130 personnes ont perdu la vie et 5000 ont été blessées. Le port est rasé et la ville à ses arrières dévastée, fenêtres et parois soufflées, voitures balayées. C’est comme si, en une seconde, Beyrouth avait replongé dans les drames de la guerre civile des années 70 et 80. Tant d’efforts de reconstruction et de stabilité réduits en cendres. Cette catastrophe est le drame de trop dans ce pays exsangue, qui sombrait déjà dans une crise économique depuis 2019. Sans compter que la crise du coronavirus a mis les hôpitaux sous pression, au moment même où les finances publiques </w:t>
      </w:r>
      <w:r w:rsidDel="00000000" w:rsidR="00000000" w:rsidRPr="00000000">
        <w:rPr>
          <w:rFonts w:ascii="Arial" w:cs="Arial" w:eastAsia="Arial" w:hAnsi="Arial"/>
          <w:sz w:val="20"/>
          <w:szCs w:val="20"/>
          <w:rtl w:val="0"/>
        </w:rPr>
        <w:t xml:space="preserve">s’asséchaient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rtl w:val="0"/>
        </w:rPr>
        <w:t xml:space="preserve">Les ONG suisses actives sur le terrain</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Cinq des grandes ONG partenaires de la Chaîne du Bonheur sont </w:t>
      </w:r>
      <w:r w:rsidDel="00000000" w:rsidR="00000000" w:rsidRPr="00000000">
        <w:rPr>
          <w:rFonts w:ascii="Arial" w:cs="Arial" w:eastAsia="Arial" w:hAnsi="Arial"/>
          <w:sz w:val="20"/>
          <w:szCs w:val="20"/>
          <w:rtl w:val="0"/>
        </w:rPr>
        <w:t xml:space="preserve">actives</w:t>
      </w:r>
      <w:r w:rsidDel="00000000" w:rsidR="00000000" w:rsidRPr="00000000">
        <w:rPr>
          <w:rFonts w:ascii="Arial" w:cs="Arial" w:eastAsia="Arial" w:hAnsi="Arial"/>
          <w:color w:val="000000"/>
          <w:sz w:val="20"/>
          <w:szCs w:val="20"/>
          <w:rtl w:val="0"/>
        </w:rPr>
        <w:t xml:space="preserve"> au Liban depuis des décennies </w:t>
      </w:r>
      <w:r w:rsidDel="00000000" w:rsidR="00000000" w:rsidRPr="00000000">
        <w:rPr>
          <w:rFonts w:ascii="Arial" w:cs="Arial" w:eastAsia="Arial" w:hAnsi="Arial"/>
          <w:sz w:val="20"/>
          <w:szCs w:val="20"/>
          <w:rtl w:val="0"/>
        </w:rPr>
        <w:t xml:space="preserve">dans le cadre de l’aide aux réfugiés Palestiniens et Syriens. Elles</w:t>
      </w:r>
      <w:r w:rsidDel="00000000" w:rsidR="00000000" w:rsidRPr="00000000">
        <w:rPr>
          <w:rFonts w:ascii="Arial" w:cs="Arial" w:eastAsia="Arial" w:hAnsi="Arial"/>
          <w:color w:val="000000"/>
          <w:sz w:val="20"/>
          <w:szCs w:val="20"/>
          <w:rtl w:val="0"/>
        </w:rPr>
        <w:t xml:space="preserve"> se sont mis</w:t>
      </w:r>
      <w:r w:rsidDel="00000000" w:rsidR="00000000" w:rsidRPr="00000000">
        <w:rPr>
          <w:rFonts w:ascii="Arial" w:cs="Arial" w:eastAsia="Arial" w:hAnsi="Arial"/>
          <w:sz w:val="20"/>
          <w:szCs w:val="20"/>
          <w:rtl w:val="0"/>
        </w:rPr>
        <w:t xml:space="preserve">es</w:t>
      </w:r>
      <w:r w:rsidDel="00000000" w:rsidR="00000000" w:rsidRPr="00000000">
        <w:rPr>
          <w:rFonts w:ascii="Arial" w:cs="Arial" w:eastAsia="Arial" w:hAnsi="Arial"/>
          <w:color w:val="000000"/>
          <w:sz w:val="20"/>
          <w:szCs w:val="20"/>
          <w:rtl w:val="0"/>
        </w:rPr>
        <w:t xml:space="preserve"> immédiatement en marche pour subvenir aux besoins des habitants de Beyrouth frappés par l’explosion : Caritas, la Croix-Rouge suisse, l’Entraide Protestante (EPER), Medair et Terre des </w:t>
      </w:r>
      <w:r w:rsidDel="00000000" w:rsidR="00000000" w:rsidRPr="00000000">
        <w:rPr>
          <w:rFonts w:ascii="Arial" w:cs="Arial" w:eastAsia="Arial" w:hAnsi="Arial"/>
          <w:sz w:val="20"/>
          <w:szCs w:val="20"/>
          <w:rtl w:val="0"/>
        </w:rPr>
        <w:t xml:space="preserve">h</w:t>
      </w:r>
      <w:r w:rsidDel="00000000" w:rsidR="00000000" w:rsidRPr="00000000">
        <w:rPr>
          <w:rFonts w:ascii="Arial" w:cs="Arial" w:eastAsia="Arial" w:hAnsi="Arial"/>
          <w:color w:val="000000"/>
          <w:sz w:val="20"/>
          <w:szCs w:val="20"/>
          <w:rtl w:val="0"/>
        </w:rPr>
        <w:t xml:space="preserve">ommes - Aide à l</w:t>
      </w:r>
      <w:r w:rsidDel="00000000" w:rsidR="00000000" w:rsidRPr="00000000">
        <w:rPr>
          <w:rFonts w:ascii="Arial" w:cs="Arial" w:eastAsia="Arial" w:hAnsi="Arial"/>
          <w:sz w:val="20"/>
          <w:szCs w:val="20"/>
          <w:rtl w:val="0"/>
        </w:rPr>
        <w:t xml:space="preserve">’enfance</w:t>
      </w:r>
      <w:r w:rsidDel="00000000" w:rsidR="00000000" w:rsidRPr="00000000">
        <w:rPr>
          <w:rFonts w:ascii="Arial" w:cs="Arial" w:eastAsia="Arial" w:hAnsi="Arial"/>
          <w:color w:val="000000"/>
          <w:sz w:val="20"/>
          <w:szCs w:val="20"/>
          <w:rtl w:val="0"/>
        </w:rPr>
        <w:t xml:space="preserve">. Grâce à leur excellente connaissance du pays et leurs collaborations avec des organisations humanitaires locales, elles peuvent fournir de l’aide dans les plus brefs délais.</w:t>
      </w:r>
    </w:p>
    <w:p w:rsidR="00000000" w:rsidDel="00000000" w:rsidP="00000000" w:rsidRDefault="00000000" w:rsidRPr="00000000" w14:paraId="0000000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Les besoins sont immenses et urgents. Il y a non seulement l’effort de recherche des survivants dans les décombres et les soins médicaux aux blessés, où la Croix-Rouge libanaise - soutenue par la Croix-Rouge suisse - a un rôle clé à jouer avec ses bénévoles. Mais aussi </w:t>
      </w:r>
      <w:r w:rsidDel="00000000" w:rsidR="00000000" w:rsidRPr="00000000">
        <w:rPr>
          <w:rFonts w:ascii="Arial" w:cs="Arial" w:eastAsia="Arial" w:hAnsi="Arial"/>
          <w:color w:val="000000"/>
          <w:sz w:val="20"/>
          <w:szCs w:val="20"/>
          <w:rtl w:val="0"/>
        </w:rPr>
        <w:t xml:space="preserve">300'000 personnes </w:t>
      </w:r>
      <w:r w:rsidDel="00000000" w:rsidR="00000000" w:rsidRPr="00000000">
        <w:rPr>
          <w:rFonts w:ascii="Arial" w:cs="Arial" w:eastAsia="Arial" w:hAnsi="Arial"/>
          <w:sz w:val="20"/>
          <w:szCs w:val="20"/>
          <w:rtl w:val="0"/>
        </w:rPr>
        <w:t xml:space="preserve">qui ont </w:t>
      </w:r>
      <w:r w:rsidDel="00000000" w:rsidR="00000000" w:rsidRPr="00000000">
        <w:rPr>
          <w:rFonts w:ascii="Arial" w:cs="Arial" w:eastAsia="Arial" w:hAnsi="Arial"/>
          <w:color w:val="000000"/>
          <w:sz w:val="20"/>
          <w:szCs w:val="20"/>
          <w:rtl w:val="0"/>
        </w:rPr>
        <w:t xml:space="preserve">perdu leur logement dans l’explosion, dont certains se retrouvent </w:t>
      </w:r>
      <w:r w:rsidDel="00000000" w:rsidR="00000000" w:rsidRPr="00000000">
        <w:rPr>
          <w:rFonts w:ascii="Arial" w:cs="Arial" w:eastAsia="Arial" w:hAnsi="Arial"/>
          <w:sz w:val="20"/>
          <w:szCs w:val="20"/>
          <w:rtl w:val="0"/>
        </w:rPr>
        <w:t xml:space="preserve">chez des membres de leur famille et bien d’autres réduits à loger dans les bâtiments publics (écoles, églises, mosquées) où tout est à mettre en place. Il est essentiel de leur fournir de l’eau, de la nourriture, des articles de première nécessité (couvertures, produits d’hygiène, de cuisine, etc). </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240" w:lineRule="auto"/>
        <w:ind w:left="-2" w:hanging="2"/>
        <w:rPr>
          <w:rFonts w:ascii="Arial" w:cs="Arial" w:eastAsia="Arial" w:hAnsi="Arial"/>
          <w:color w:val="000000"/>
          <w:sz w:val="20"/>
          <w:szCs w:val="20"/>
        </w:rPr>
      </w:pPr>
      <w:r w:rsidDel="00000000" w:rsidR="00000000" w:rsidRPr="00000000">
        <w:rPr>
          <w:rFonts w:ascii="Arial" w:cs="Arial" w:eastAsia="Arial" w:hAnsi="Arial"/>
          <w:rtl w:val="0"/>
        </w:rPr>
        <w:t xml:space="preserve">L’impact des dons</w:t>
      </w:r>
      <w:r w:rsidDel="00000000" w:rsidR="00000000" w:rsidRPr="00000000">
        <w:rPr>
          <w:rtl w:val="0"/>
        </w:rPr>
      </w:r>
    </w:p>
    <w:p w:rsidR="00000000" w:rsidDel="00000000" w:rsidP="00000000" w:rsidRDefault="00000000" w:rsidRPr="00000000" w14:paraId="0000000D">
      <w:pPr>
        <w:spacing w:after="240" w:lineRule="auto"/>
        <w:ind w:left="-2"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Votre don aujourd’hui permet aux ONG partenaires de la Chaîne du Bonheur de réagir face à l’urgence et de contribuer à l’effort mondial pour venir en aide à la population libanaise. Ce petit pays à la nature époustouflante qu’on disait autrefois « la Suisse du Moyen-Orient » a trop souffert pour se relever seul d’une dévastation pareille. Seule une solidarité internationale d’envergure peut donner l’espoir aux Libanais terrassés aujourd’hui.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 dons sont </w:t>
      </w:r>
      <w:r w:rsidDel="00000000" w:rsidR="00000000" w:rsidRPr="00000000">
        <w:rPr>
          <w:rFonts w:ascii="Arial" w:cs="Arial" w:eastAsia="Arial" w:hAnsi="Arial"/>
          <w:sz w:val="20"/>
          <w:szCs w:val="20"/>
          <w:rtl w:val="0"/>
        </w:rPr>
        <w:t xml:space="preserve">possibles</w:t>
      </w:r>
      <w:r w:rsidDel="00000000" w:rsidR="00000000" w:rsidRPr="00000000">
        <w:rPr>
          <w:rFonts w:ascii="Arial" w:cs="Arial" w:eastAsia="Arial" w:hAnsi="Arial"/>
          <w:color w:val="000000"/>
          <w:sz w:val="20"/>
          <w:szCs w:val="20"/>
          <w:rtl w:val="0"/>
        </w:rPr>
        <w:t xml:space="preserve"> en ligne sur </w:t>
      </w:r>
      <w:hyperlink r:id="rId8">
        <w:r w:rsidDel="00000000" w:rsidR="00000000" w:rsidRPr="00000000">
          <w:rPr>
            <w:rFonts w:ascii="Arial" w:cs="Arial" w:eastAsia="Arial" w:hAnsi="Arial"/>
            <w:color w:val="0000ff"/>
            <w:sz w:val="20"/>
            <w:szCs w:val="20"/>
            <w:u w:val="single"/>
            <w:rtl w:val="0"/>
          </w:rPr>
          <w:t xml:space="preserve">www.bonheur.ch</w:t>
        </w:r>
      </w:hyperlink>
      <w:r w:rsidDel="00000000" w:rsidR="00000000" w:rsidRPr="00000000">
        <w:rPr>
          <w:rFonts w:ascii="Arial" w:cs="Arial" w:eastAsia="Arial" w:hAnsi="Arial"/>
          <w:color w:val="000000"/>
          <w:sz w:val="20"/>
          <w:szCs w:val="20"/>
          <w:rtl w:val="0"/>
        </w:rPr>
        <w:t xml:space="preserve"> ou sur le compte postal 10-15000-6, mention « Urgence Liban ».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Personne de contact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Tasha Rumley, responsable de programmes humanitaires – </w:t>
      </w:r>
      <w:hyperlink r:id="rId9">
        <w:r w:rsidDel="00000000" w:rsidR="00000000" w:rsidRPr="00000000">
          <w:rPr>
            <w:rFonts w:ascii="Arial" w:cs="Arial" w:eastAsia="Arial" w:hAnsi="Arial"/>
            <w:color w:val="0000ff"/>
            <w:sz w:val="20"/>
            <w:szCs w:val="20"/>
            <w:u w:val="single"/>
            <w:rtl w:val="0"/>
          </w:rPr>
          <w:t xml:space="preserve">rumley@bonheur.ch</w:t>
        </w:r>
      </w:hyperlink>
      <w:r w:rsidDel="00000000" w:rsidR="00000000" w:rsidRPr="00000000">
        <w:rPr>
          <w:rFonts w:ascii="Arial" w:cs="Arial" w:eastAsia="Arial" w:hAnsi="Arial"/>
          <w:color w:val="000000"/>
          <w:sz w:val="20"/>
          <w:szCs w:val="20"/>
          <w:rtl w:val="0"/>
        </w:rPr>
        <w:t xml:space="preserve"> ou 079 905 16 47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pBdr>
          <w:top w:color="d9272e" w:space="1" w:sz="4" w:val="single"/>
          <w:left w:space="0" w:sz="0" w:val="nil"/>
          <w:bottom w:space="0" w:sz="0" w:val="nil"/>
          <w:right w:space="0" w:sz="0" w:val="nil"/>
          <w:between w:space="0" w:sz="0" w:val="nil"/>
        </w:pBdr>
        <w:spacing w:after="240" w:before="7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1,8 milliard de francs de dons. Plus d’infos sur </w:t>
      </w:r>
      <w:hyperlink r:id="rId10">
        <w:r w:rsidDel="00000000" w:rsidR="00000000" w:rsidRPr="00000000">
          <w:rPr>
            <w:rFonts w:ascii="Arial" w:cs="Arial" w:eastAsia="Arial" w:hAnsi="Arial"/>
            <w:color w:val="000000"/>
            <w:sz w:val="16"/>
            <w:szCs w:val="16"/>
            <w:rtl w:val="0"/>
          </w:rPr>
          <w:t xml:space="preserve">www.bonheur.ch</w:t>
        </w:r>
      </w:hyperlink>
      <w:r w:rsidDel="00000000" w:rsidR="00000000" w:rsidRPr="00000000">
        <w:rPr>
          <w:rFonts w:ascii="Arial" w:cs="Arial" w:eastAsia="Arial" w:hAnsi="Arial"/>
          <w:color w:val="000000"/>
          <w:sz w:val="16"/>
          <w:szCs w:val="16"/>
          <w:rtl w:val="0"/>
        </w:rPr>
        <w:t xml:space="preserve"> ou sur </w:t>
      </w:r>
      <w:hyperlink r:id="rId11">
        <w:r w:rsidDel="00000000" w:rsidR="00000000" w:rsidRPr="00000000">
          <w:rPr>
            <w:rFonts w:ascii="Arial" w:cs="Arial" w:eastAsia="Arial" w:hAnsi="Arial"/>
            <w:color w:val="000000"/>
            <w:sz w:val="16"/>
            <w:szCs w:val="16"/>
            <w:rtl w:val="0"/>
          </w:rPr>
          <w:t xml:space="preserve">medias.bonheur.ch</w:t>
        </w:r>
      </w:hyperlink>
      <w:r w:rsidDel="00000000" w:rsidR="00000000" w:rsidRPr="00000000">
        <w:rPr>
          <w:rtl w:val="0"/>
        </w:rPr>
      </w:r>
    </w:p>
    <w:sectPr>
      <w:headerReference r:id="rId12" w:type="default"/>
      <w:headerReference r:id="rId13" w:type="first"/>
      <w:footerReference r:id="rId14" w:type="default"/>
      <w:footerReference r:id="rId15" w:type="first"/>
      <w:pgSz w:h="16840" w:w="11900"/>
      <w:pgMar w:bottom="1247" w:top="2381" w:left="2665" w:right="851"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-1206809</wp:posOffset>
          </wp:positionH>
          <wp:positionV relativeFrom="paragraph">
            <wp:posOffset>0</wp:posOffset>
          </wp:positionV>
          <wp:extent cx="6534150" cy="44069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44257" l="7061" r="6540" t="0"/>
                  <a:stretch>
                    <a:fillRect/>
                  </a:stretch>
                </pic:blipFill>
                <pic:spPr>
                  <a:xfrm>
                    <a:off x="0" y="0"/>
                    <a:ext cx="6534150" cy="4406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8364"/>
      </w:tabs>
      <w:ind w:right="360"/>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jc w:val="right"/>
      <w:rPr>
        <w:rFonts w:ascii="Arial" w:cs="Arial" w:eastAsia="Arial" w:hAnsi="Arial"/>
        <w:color w:val="000000"/>
        <w:sz w:val="20"/>
        <w:szCs w:val="20"/>
      </w:rPr>
    </w:pPr>
    <w:r w:rsidDel="00000000" w:rsidR="00000000" w:rsidRPr="00000000">
      <w:rPr>
        <w:rFonts w:ascii="Arial" w:cs="Arial" w:eastAsia="Arial" w:hAnsi="Arial"/>
        <w:sz w:val="20"/>
        <w:szCs w:val="20"/>
      </w:rPr>
      <w:drawing>
        <wp:anchor allowOverlap="1" behindDoc="0" distB="0" distT="0" distL="0" distR="0" hidden="0" layoutInCell="1" locked="0" relativeHeight="0" simplePos="0">
          <wp:simplePos x="0" y="0"/>
          <wp:positionH relativeFrom="page">
            <wp:posOffset>67310</wp:posOffset>
          </wp:positionH>
          <wp:positionV relativeFrom="page">
            <wp:posOffset>16510</wp:posOffset>
          </wp:positionV>
          <wp:extent cx="2333625" cy="1126490"/>
          <wp:effectExtent b="0" l="0" r="0" t="0"/>
          <wp:wrapSquare wrapText="bothSides" distB="0" distT="0" distL="0" distR="0"/>
          <wp:docPr descr="CLIENTS A-K:Chaine du Bonheur:Corporate:Model_Word:Documents:Entete_adresses_Entete_adresses_logo-FR.tif" id="6" name="image2.png"/>
          <a:graphic>
            <a:graphicData uri="http://schemas.openxmlformats.org/drawingml/2006/picture">
              <pic:pic>
                <pic:nvPicPr>
                  <pic:cNvPr descr="CLIENTS A-K:Chaine du Bonheur:Corporate:Model_Word:Documents:Entete_adresses_Entete_adresses_logo-FR.tif" id="0" name="image2.png"/>
                  <pic:cNvPicPr preferRelativeResize="0"/>
                </pic:nvPicPr>
                <pic:blipFill>
                  <a:blip r:embed="rId1"/>
                  <a:srcRect b="51727" l="0" r="0" t="0"/>
                  <a:stretch>
                    <a:fillRect/>
                  </a:stretch>
                </pic:blipFill>
                <pic:spPr>
                  <a:xfrm>
                    <a:off x="0" y="0"/>
                    <a:ext cx="2333625" cy="1126490"/>
                  </a:xfrm>
                  <a:prstGeom prst="rect"/>
                  <a:ln/>
                </pic:spPr>
              </pic:pic>
            </a:graphicData>
          </a:graphic>
        </wp:anchor>
      </w:drawing>
    </w:r>
    <w:r w:rsidDel="00000000" w:rsidR="00000000" w:rsidRPr="00000000">
      <w:rPr>
        <w:rFonts w:ascii="Arial" w:cs="Arial" w:eastAsia="Arial" w:hAnsi="Arial"/>
        <w:color w:val="000000"/>
        <w:sz w:val="20"/>
        <w:szCs w:val="20"/>
        <w:rtl w:val="0"/>
      </w:rPr>
      <w:t xml:space="preserve">Communiqué de presse</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Genève, Zurich, Lugano, le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 xml:space="preserve"> août 2020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before="480"/>
      <w:outlineLvl w:val="0"/>
    </w:pPr>
    <w:rPr>
      <w:rFonts w:ascii="Calibri" w:cs="Calibri" w:eastAsia="Calibri" w:hAnsi="Calibri"/>
      <w:b w:val="1"/>
      <w:color w:val="345a8a"/>
      <w:sz w:val="32"/>
      <w:szCs w:val="32"/>
    </w:rPr>
  </w:style>
  <w:style w:type="paragraph" w:styleId="Titre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tte">
    <w:name w:val="header"/>
    <w:basedOn w:val="Normal"/>
    <w:link w:val="En-tteCar"/>
    <w:uiPriority w:val="99"/>
    <w:unhideWhenUsed w:val="1"/>
    <w:rsid w:val="00A90FDD"/>
    <w:pPr>
      <w:tabs>
        <w:tab w:val="center" w:pos="4536"/>
        <w:tab w:val="right" w:pos="9072"/>
      </w:tabs>
    </w:pPr>
  </w:style>
  <w:style w:type="character" w:styleId="En-tteCar" w:customStyle="1">
    <w:name w:val="En-tête Car"/>
    <w:basedOn w:val="Policepardfaut"/>
    <w:link w:val="En-tte"/>
    <w:uiPriority w:val="99"/>
    <w:rsid w:val="00A90FDD"/>
  </w:style>
  <w:style w:type="paragraph" w:styleId="Pieddepage">
    <w:name w:val="footer"/>
    <w:basedOn w:val="Normal"/>
    <w:link w:val="PieddepageCar"/>
    <w:uiPriority w:val="99"/>
    <w:unhideWhenUsed w:val="1"/>
    <w:rsid w:val="00A90FDD"/>
    <w:pPr>
      <w:tabs>
        <w:tab w:val="center" w:pos="4536"/>
        <w:tab w:val="right" w:pos="9072"/>
      </w:tabs>
    </w:pPr>
  </w:style>
  <w:style w:type="character" w:styleId="PieddepageCar" w:customStyle="1">
    <w:name w:val="Pied de page Car"/>
    <w:basedOn w:val="Policepardfaut"/>
    <w:link w:val="Pieddepage"/>
    <w:uiPriority w:val="99"/>
    <w:rsid w:val="00A90FDD"/>
  </w:style>
  <w:style w:type="paragraph" w:styleId="Textedebulles">
    <w:name w:val="Balloon Text"/>
    <w:basedOn w:val="Normal"/>
    <w:link w:val="TextedebullesCar"/>
    <w:uiPriority w:val="99"/>
    <w:semiHidden w:val="1"/>
    <w:unhideWhenUsed w:val="1"/>
    <w:rsid w:val="003B1CDF"/>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3B1CDF"/>
    <w:rPr>
      <w:rFonts w:ascii="Times New Roman" w:cs="Times New Roman" w:hAnsi="Times New Roman"/>
      <w:sz w:val="18"/>
      <w:szCs w:val="18"/>
    </w:rPr>
  </w:style>
  <w:style w:type="paragraph" w:styleId="NormalWeb">
    <w:name w:val="Normal (Web)"/>
    <w:basedOn w:val="Normal"/>
    <w:uiPriority w:val="99"/>
    <w:unhideWhenUsed w:val="1"/>
    <w:rsid w:val="00EB0C4D"/>
    <w:pPr>
      <w:spacing w:after="100" w:afterAutospacing="1" w:before="100" w:beforeAutospacing="1"/>
    </w:pPr>
    <w:rPr>
      <w:rFonts w:ascii="Times New Roman" w:cs="Times New Roman" w:eastAsia="Times New Roman" w:hAnsi="Times New Roman"/>
    </w:rPr>
  </w:style>
  <w:style w:type="character" w:styleId="Marquedecommentaire">
    <w:name w:val="annotation reference"/>
    <w:basedOn w:val="Policepardfaut"/>
    <w:uiPriority w:val="99"/>
    <w:semiHidden w:val="1"/>
    <w:unhideWhenUsed w:val="1"/>
    <w:rsid w:val="00D4189C"/>
    <w:rPr>
      <w:sz w:val="16"/>
      <w:szCs w:val="16"/>
    </w:rPr>
  </w:style>
  <w:style w:type="paragraph" w:styleId="Commentaire">
    <w:name w:val="annotation text"/>
    <w:basedOn w:val="Normal"/>
    <w:link w:val="CommentaireCar"/>
    <w:uiPriority w:val="99"/>
    <w:semiHidden w:val="1"/>
    <w:unhideWhenUsed w:val="1"/>
    <w:rsid w:val="00D4189C"/>
    <w:rPr>
      <w:sz w:val="20"/>
      <w:szCs w:val="20"/>
    </w:rPr>
  </w:style>
  <w:style w:type="character" w:styleId="CommentaireCar" w:customStyle="1">
    <w:name w:val="Commentaire Car"/>
    <w:basedOn w:val="Policepardfaut"/>
    <w:link w:val="Commentaire"/>
    <w:uiPriority w:val="99"/>
    <w:semiHidden w:val="1"/>
    <w:rsid w:val="00D4189C"/>
    <w:rPr>
      <w:sz w:val="20"/>
      <w:szCs w:val="20"/>
    </w:rPr>
  </w:style>
  <w:style w:type="paragraph" w:styleId="Objetducommentaire">
    <w:name w:val="annotation subject"/>
    <w:basedOn w:val="Commentaire"/>
    <w:next w:val="Commentaire"/>
    <w:link w:val="ObjetducommentaireCar"/>
    <w:uiPriority w:val="99"/>
    <w:semiHidden w:val="1"/>
    <w:unhideWhenUsed w:val="1"/>
    <w:rsid w:val="00D4189C"/>
    <w:rPr>
      <w:b w:val="1"/>
      <w:bCs w:val="1"/>
    </w:rPr>
  </w:style>
  <w:style w:type="character" w:styleId="ObjetducommentaireCar" w:customStyle="1">
    <w:name w:val="Objet du commentaire Car"/>
    <w:basedOn w:val="CommentaireCar"/>
    <w:link w:val="Objetducommentaire"/>
    <w:uiPriority w:val="99"/>
    <w:semiHidden w:val="1"/>
    <w:rsid w:val="00D4189C"/>
    <w:rPr>
      <w:b w:val="1"/>
      <w:bCs w:val="1"/>
      <w:sz w:val="20"/>
      <w:szCs w:val="20"/>
    </w:rPr>
  </w:style>
  <w:style w:type="paragraph" w:styleId="Rvision">
    <w:name w:val="Revision"/>
    <w:hidden w:val="1"/>
    <w:uiPriority w:val="99"/>
    <w:semiHidden w:val="1"/>
    <w:rsid w:val="00244EC1"/>
  </w:style>
  <w:style w:type="character" w:styleId="Lienhypertexte">
    <w:name w:val="Hyperlink"/>
    <w:basedOn w:val="Policepardfaut"/>
    <w:uiPriority w:val="99"/>
    <w:unhideWhenUsed w:val="1"/>
    <w:rsid w:val="006E4E26"/>
    <w:rPr>
      <w:color w:val="0000ff" w:themeColor="hyperlink"/>
      <w:u w:val="single"/>
    </w:rPr>
  </w:style>
  <w:style w:type="character" w:styleId="Mentionnonrsolue">
    <w:name w:val="Unresolved Mention"/>
    <w:basedOn w:val="Policepardfaut"/>
    <w:uiPriority w:val="99"/>
    <w:semiHidden w:val="1"/>
    <w:unhideWhenUsed w:val="1"/>
    <w:rsid w:val="006E4E26"/>
    <w:rPr>
      <w:color w:val="605e5c"/>
      <w:shd w:color="auto" w:fill="e1dfdd" w:val="clear"/>
    </w:rPr>
  </w:style>
  <w:style w:type="paragraph" w:styleId="CBCitation" w:customStyle="1">
    <w:name w:val="CB_Citation"/>
    <w:basedOn w:val="Normal"/>
    <w:qFormat w:val="1"/>
    <w:rsid w:val="00C02DEF"/>
    <w:pPr>
      <w:pBdr>
        <w:top w:color="d9272e" w:space="1" w:sz="4" w:val="single"/>
      </w:pBdr>
      <w:spacing w:after="240" w:before="720" w:line="240" w:lineRule="exact"/>
    </w:pPr>
    <w:rPr>
      <w:rFonts w:ascii="Arial" w:cs="Times New Roman" w:eastAsia="MS Mincho" w:hAnsi="Arial"/>
      <w:sz w:val="16"/>
      <w:szCs w:val="16"/>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medias.bonheur.ch" TargetMode="External"/><Relationship Id="rId10" Type="http://schemas.openxmlformats.org/officeDocument/2006/relationships/hyperlink" Target="https://www.bonheur.ch/"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mley@bonheur.ch"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nheur.ch" TargetMode="External"/><Relationship Id="rId8" Type="http://schemas.openxmlformats.org/officeDocument/2006/relationships/hyperlink" Target="http://www.bonheu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SGfkpQq405ZeGMWgsb8WLbGHw==">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2020-08-06T07:39:00Z</dcterms:created>
</cp:coreProperties>
</file>